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3" w:rsidRPr="00330782" w:rsidRDefault="00E21A83" w:rsidP="00E21A83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E21A83" w:rsidRPr="00330782" w:rsidRDefault="00E21A83" w:rsidP="00E21A83">
      <w:pPr>
        <w:jc w:val="center"/>
        <w:rPr>
          <w:sz w:val="4"/>
          <w:szCs w:val="4"/>
          <w:lang w:val="uk-UA"/>
        </w:rPr>
      </w:pPr>
    </w:p>
    <w:p w:rsidR="00E21A83" w:rsidRPr="00330782" w:rsidRDefault="00E21A83" w:rsidP="00E21A83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E21A83" w:rsidRPr="00330782" w:rsidRDefault="00E21A83" w:rsidP="00E21A83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E21A83" w:rsidRPr="00330782" w:rsidRDefault="00E21A83" w:rsidP="00E21A83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E21A83" w:rsidRPr="00330782" w:rsidRDefault="00E21A83" w:rsidP="00E21A83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E21A83" w:rsidRPr="00330782" w:rsidRDefault="00E21A83" w:rsidP="00E21A83">
      <w:pPr>
        <w:rPr>
          <w:sz w:val="12"/>
          <w:szCs w:val="12"/>
          <w:lang w:val="uk-UA"/>
        </w:rPr>
      </w:pPr>
      <w:r w:rsidRPr="00EC3F22">
        <w:rPr>
          <w:noProof/>
          <w:lang w:val="en-US" w:eastAsia="en-US"/>
        </w:rPr>
        <w:pict>
          <v:group id="_x0000_s1026" style="position:absolute;margin-left:-.1pt;margin-top:5.05pt;width:445.4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E21A83" w:rsidRPr="000D2405" w:rsidRDefault="00E21A83" w:rsidP="00E21A83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  13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 06          </w:t>
      </w:r>
      <w:r>
        <w:rPr>
          <w:sz w:val="24"/>
          <w:szCs w:val="24"/>
          <w:lang w:val="uk-UA"/>
        </w:rPr>
        <w:t xml:space="preserve">  2019    №  _</w:t>
      </w:r>
      <w:r w:rsidRPr="00E21A83">
        <w:rPr>
          <w:sz w:val="24"/>
          <w:szCs w:val="24"/>
          <w:u w:val="single"/>
          <w:lang w:val="uk-UA"/>
        </w:rPr>
        <w:t>1583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21A83" w:rsidRPr="00330782" w:rsidRDefault="00E21A83" w:rsidP="00E21A83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47 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  7 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E21A83" w:rsidRPr="00330782" w:rsidRDefault="00E21A83" w:rsidP="00E21A83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E21A83" w:rsidRPr="00A50C86" w:rsidRDefault="00E21A83" w:rsidP="00E21A83">
      <w:pPr>
        <w:ind w:right="4315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єдиного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E21A83" w:rsidRPr="00330782" w:rsidRDefault="00E21A83" w:rsidP="00E21A83">
      <w:pPr>
        <w:ind w:right="4315"/>
        <w:jc w:val="both"/>
        <w:rPr>
          <w:sz w:val="26"/>
          <w:szCs w:val="26"/>
          <w:lang w:val="uk-UA"/>
        </w:rPr>
      </w:pPr>
    </w:p>
    <w:p w:rsidR="00E21A83" w:rsidRPr="00330782" w:rsidRDefault="00E21A83" w:rsidP="00E21A83">
      <w:pPr>
        <w:ind w:right="-5"/>
        <w:jc w:val="both"/>
        <w:rPr>
          <w:sz w:val="12"/>
          <w:szCs w:val="12"/>
          <w:lang w:val="uk-UA"/>
        </w:rPr>
      </w:pPr>
    </w:p>
    <w:p w:rsidR="00E21A83" w:rsidRDefault="00E21A83" w:rsidP="00E21A83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BE495D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</w:t>
      </w:r>
      <w:r w:rsidRPr="00483C49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п</w:t>
      </w:r>
      <w:r w:rsidRPr="00483C4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8.3 ст. 8, </w:t>
      </w:r>
      <w:proofErr w:type="spellStart"/>
      <w:r>
        <w:rPr>
          <w:sz w:val="24"/>
          <w:szCs w:val="24"/>
          <w:lang w:val="uk-UA"/>
        </w:rPr>
        <w:t>ст.ст</w:t>
      </w:r>
      <w:proofErr w:type="spellEnd"/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292, 294-300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>, з метою  забезпечення  надходжень до міського бюджету від  сплати єдиного податку платниками єдиного податку першої та другої груп</w:t>
      </w:r>
      <w:r w:rsidRPr="00483C49">
        <w:rPr>
          <w:sz w:val="24"/>
          <w:szCs w:val="24"/>
          <w:lang w:val="uk-UA"/>
        </w:rPr>
        <w:t>, міська рада</w:t>
      </w:r>
    </w:p>
    <w:p w:rsidR="00E21A83" w:rsidRDefault="00E21A83" w:rsidP="00E21A83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:rsidR="00E21A83" w:rsidRPr="00330782" w:rsidRDefault="00E21A83" w:rsidP="00E21A83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 xml:space="preserve">1.  Встановити </w:t>
      </w:r>
      <w:r w:rsidRPr="00A50C86">
        <w:rPr>
          <w:sz w:val="24"/>
          <w:szCs w:val="24"/>
          <w:lang w:val="uk-UA"/>
        </w:rPr>
        <w:t>на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</w:t>
      </w:r>
      <w:r w:rsidRPr="00330782">
        <w:rPr>
          <w:sz w:val="24"/>
          <w:szCs w:val="24"/>
          <w:lang w:val="uk-UA"/>
        </w:rPr>
        <w:t xml:space="preserve">ставки єдиного податку для фізичних осіб-підприємців на території міста </w:t>
      </w:r>
      <w:proofErr w:type="spellStart"/>
      <w:r w:rsidRPr="00330782">
        <w:rPr>
          <w:sz w:val="24"/>
          <w:szCs w:val="24"/>
          <w:lang w:val="uk-UA"/>
        </w:rPr>
        <w:t>Южноукраїнська</w:t>
      </w:r>
      <w:proofErr w:type="spellEnd"/>
      <w:r w:rsidRPr="00330782">
        <w:rPr>
          <w:sz w:val="24"/>
          <w:szCs w:val="24"/>
          <w:lang w:val="uk-UA"/>
        </w:rPr>
        <w:t xml:space="preserve"> у наступному розмірі: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 xml:space="preserve">.1 для платників єдиного податку, які відповідно до ст. 291 Податкового кодексу України відносяться до першої групи (фізичні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300000,0 гривень) - 8% </w:t>
      </w:r>
      <w:r>
        <w:rPr>
          <w:sz w:val="24"/>
          <w:szCs w:val="24"/>
          <w:lang w:val="uk-UA"/>
        </w:rPr>
        <w:t>розміру прожиткового мінімуму для працездатних осіб</w:t>
      </w:r>
      <w:r w:rsidRPr="00330782">
        <w:rPr>
          <w:sz w:val="24"/>
          <w:szCs w:val="24"/>
          <w:lang w:val="uk-UA"/>
        </w:rPr>
        <w:t>, встановлен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законом на 1 січня податкового (звітного) року; 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 xml:space="preserve">.2 для платників єдиного податку, які відповідно до ст. 291 Податкового кодексу України відносяться до другої групи (фізичні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не використовують працю найманих осіб або кількість осіб, які перебувають з ними у трудових відносинах, одночасно не перевищує 10 осіб та обсяг доходу не перевищує 1500000,0 грн., не враховуючи фізичних осіб - підприємців, які надають посередницькі послуги з купівлі, продажу, оренди та оцінювання нерухомого майна (група 70.31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009:2005),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330782">
        <w:rPr>
          <w:sz w:val="24"/>
          <w:szCs w:val="24"/>
          <w:lang w:val="uk-UA"/>
        </w:rPr>
        <w:t>напівдорогоцінного</w:t>
      </w:r>
      <w:proofErr w:type="spellEnd"/>
      <w:r w:rsidRPr="00330782">
        <w:rPr>
          <w:sz w:val="24"/>
          <w:szCs w:val="24"/>
          <w:lang w:val="uk-UA"/>
        </w:rPr>
        <w:t xml:space="preserve"> каміння, які належать виключно до третьої групи платників єдиного податку, якщо відповідають вимогам, встановленим Податковим кодексом України для третьої групи), окрім фізичних осіб-підприємців, які надають послуги в галузі «Освіта» (гр. 80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009:2005 та гр. 85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009:2010) - 15% </w:t>
      </w:r>
      <w:r w:rsidRPr="00330782">
        <w:rPr>
          <w:sz w:val="24"/>
          <w:szCs w:val="24"/>
          <w:lang w:val="uk-UA"/>
        </w:rPr>
        <w:lastRenderedPageBreak/>
        <w:t xml:space="preserve">розміру мінімальної заробітної плати, встановленої законом на 1 січня податкового (звітного) року; 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.3 для платників єдиного податку, які відповідно до ст</w:t>
      </w:r>
      <w:r>
        <w:rPr>
          <w:sz w:val="24"/>
          <w:szCs w:val="24"/>
          <w:lang w:val="uk-UA"/>
        </w:rPr>
        <w:t>атті</w:t>
      </w:r>
      <w:r w:rsidRPr="00330782">
        <w:rPr>
          <w:sz w:val="24"/>
          <w:szCs w:val="24"/>
          <w:lang w:val="uk-UA"/>
        </w:rPr>
        <w:t xml:space="preserve"> 291 Податкового кодексу України відносяться до другої групи та надають послуги в галузі «Освіта» (гр. 80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009:2005 та гр. 85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009:2010) - 5% розміру мінімальної </w:t>
      </w:r>
      <w:r w:rsidRPr="00342746">
        <w:rPr>
          <w:sz w:val="24"/>
          <w:szCs w:val="24"/>
          <w:lang w:val="uk-UA"/>
        </w:rPr>
        <w:t>заробітної плати, встановленої законом на 1 січня податкового (звітного) року.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Default="00E21A83" w:rsidP="00E21A83">
      <w:pPr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2. </w:t>
      </w:r>
      <w:r w:rsidRPr="006D302D">
        <w:rPr>
          <w:sz w:val="24"/>
          <w:szCs w:val="24"/>
          <w:lang w:val="uk-UA"/>
        </w:rPr>
        <w:t>Елементи єдиного податку: платники податку, об’єкт оподаткування,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база оподаткування, порядок обчислення податку, податковий період, строк та порядок сплати податку, строк та подання звітності про обчислення і сплату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 xml:space="preserve">податку визначено </w:t>
      </w:r>
      <w:r>
        <w:rPr>
          <w:sz w:val="24"/>
          <w:szCs w:val="24"/>
          <w:lang w:val="uk-UA"/>
        </w:rPr>
        <w:t xml:space="preserve"> статтями </w:t>
      </w:r>
      <w:r w:rsidRPr="006D302D">
        <w:rPr>
          <w:sz w:val="24"/>
          <w:szCs w:val="24"/>
          <w:lang w:val="uk-UA"/>
        </w:rPr>
        <w:t>291</w:t>
      </w:r>
      <w:r>
        <w:rPr>
          <w:sz w:val="24"/>
          <w:szCs w:val="24"/>
          <w:lang w:val="uk-UA"/>
        </w:rPr>
        <w:t xml:space="preserve">, 292, </w:t>
      </w:r>
      <w:r w:rsidRPr="006D30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294</w:t>
      </w:r>
      <w:r w:rsidRPr="006D302D">
        <w:rPr>
          <w:sz w:val="24"/>
          <w:szCs w:val="24"/>
          <w:lang w:val="uk-UA"/>
        </w:rPr>
        <w:t>– 300 Податкового кодексу України.</w:t>
      </w:r>
    </w:p>
    <w:p w:rsidR="00E21A83" w:rsidRDefault="00E21A83" w:rsidP="00E21A8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E21A83" w:rsidRPr="006D302D" w:rsidRDefault="00E21A83" w:rsidP="00E21A8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6D302D">
        <w:rPr>
          <w:sz w:val="24"/>
          <w:szCs w:val="24"/>
          <w:lang w:val="uk-UA"/>
        </w:rPr>
        <w:t>Єдиний податок сплачується платниками за місцем податкової адреси та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зараховується до місцевого бюджету згідно з кодами бюджетної класифікації доходів.</w:t>
      </w:r>
    </w:p>
    <w:p w:rsidR="00E21A83" w:rsidRDefault="00E21A83" w:rsidP="00E21A83">
      <w:pPr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</w:t>
      </w:r>
      <w:r w:rsidRPr="00342746">
        <w:rPr>
          <w:sz w:val="24"/>
          <w:szCs w:val="24"/>
          <w:lang w:val="uk-UA"/>
        </w:rPr>
        <w:t>. Рішення набирає чинності з 01.01.20</w:t>
      </w:r>
      <w:r>
        <w:rPr>
          <w:sz w:val="24"/>
          <w:szCs w:val="24"/>
          <w:lang w:val="uk-UA"/>
        </w:rPr>
        <w:t>20</w:t>
      </w:r>
      <w:r w:rsidRPr="00342746">
        <w:rPr>
          <w:sz w:val="24"/>
          <w:szCs w:val="24"/>
          <w:lang w:val="uk-UA"/>
        </w:rPr>
        <w:t>.</w:t>
      </w:r>
    </w:p>
    <w:p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342746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</w:t>
      </w:r>
      <w:r>
        <w:rPr>
          <w:sz w:val="24"/>
          <w:szCs w:val="24"/>
          <w:lang w:val="uk-UA"/>
        </w:rPr>
        <w:t>Курдасов</w:t>
      </w:r>
      <w:r w:rsidRPr="00342746">
        <w:rPr>
          <w:sz w:val="24"/>
          <w:szCs w:val="24"/>
          <w:lang w:val="uk-UA"/>
        </w:rPr>
        <w:t xml:space="preserve">), першого заступника міського голови з питань діяльності виконавчих органів ради Мустяцу Г.Ф. </w:t>
      </w:r>
    </w:p>
    <w:p w:rsidR="00E21A83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:rsidR="00E21A83" w:rsidRPr="00964E42" w:rsidRDefault="00E21A83" w:rsidP="00E21A83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  <w:t xml:space="preserve">В.К. </w:t>
      </w:r>
      <w:proofErr w:type="spellStart"/>
      <w:r w:rsidRPr="00964E42">
        <w:rPr>
          <w:sz w:val="24"/>
          <w:szCs w:val="24"/>
          <w:lang w:val="uk-UA"/>
        </w:rPr>
        <w:t>Пароконний</w:t>
      </w:r>
      <w:proofErr w:type="spellEnd"/>
    </w:p>
    <w:p w:rsidR="00E21A83" w:rsidRPr="00330782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E21A83" w:rsidRPr="00330782" w:rsidRDefault="00E21A83" w:rsidP="00E21A83">
      <w:pPr>
        <w:ind w:right="-1"/>
        <w:jc w:val="both"/>
        <w:rPr>
          <w:lang w:val="uk-UA"/>
        </w:rPr>
      </w:pPr>
      <w:r w:rsidRPr="00330782">
        <w:rPr>
          <w:lang w:val="uk-UA"/>
        </w:rPr>
        <w:t>Петрик</w:t>
      </w:r>
    </w:p>
    <w:p w:rsidR="00E21A83" w:rsidRDefault="00E21A83" w:rsidP="00E21A83">
      <w:pPr>
        <w:ind w:right="-1"/>
        <w:jc w:val="both"/>
        <w:rPr>
          <w:lang w:val="uk-UA"/>
        </w:rPr>
      </w:pPr>
      <w:r w:rsidRPr="00330782">
        <w:rPr>
          <w:lang w:val="uk-UA"/>
        </w:rPr>
        <w:t>2-11-24</w:t>
      </w:r>
    </w:p>
    <w:p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4E3CA5" w:rsidRDefault="004E3CA5"/>
    <w:sectPr w:rsidR="004E3CA5" w:rsidSect="00E21A83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83"/>
    <w:rsid w:val="004E3CA5"/>
    <w:rsid w:val="00E2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1A83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21A83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1A83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E21A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>Computer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2019-06-19T06:38:00Z</dcterms:created>
  <dcterms:modified xsi:type="dcterms:W3CDTF">2019-06-19T06:39:00Z</dcterms:modified>
</cp:coreProperties>
</file>